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2018年度新疆喀什地区英吉沙县工商行政管理局部门决算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1、组织管理工商企业和从事经营活动的单位、个人的登记注册，依法核定注册单位名称，审定、批准、颁发有关证照，对其登记注册事项及经营活动进行监督。</w:t>
      </w:r>
      <w:r>
        <w:rPr>
          <w:rFonts w:hint="eastAsia" w:ascii="仿宋_GB2312" w:eastAsia="仿宋_GB2312"/>
          <w:sz w:val="32"/>
          <w:szCs w:val="32"/>
        </w:rPr>
        <w:br w:type="textWrapping"/>
      </w:r>
      <w:r>
        <w:rPr>
          <w:rFonts w:hint="eastAsia" w:ascii="仿宋_GB2312" w:eastAsia="仿宋_GB2312"/>
          <w:sz w:val="32"/>
          <w:szCs w:val="32"/>
        </w:rPr>
        <w:t xml:space="preserve">    2、组织实施各类市场经营秩序的规范管理与监督。</w:t>
      </w:r>
      <w:r>
        <w:rPr>
          <w:rFonts w:hint="eastAsia" w:ascii="仿宋_GB2312" w:eastAsia="仿宋_GB2312"/>
          <w:sz w:val="32"/>
          <w:szCs w:val="32"/>
        </w:rPr>
        <w:br w:type="textWrapping"/>
      </w:r>
      <w:r>
        <w:rPr>
          <w:rFonts w:hint="eastAsia" w:ascii="仿宋_GB2312" w:eastAsia="仿宋_GB2312"/>
          <w:sz w:val="32"/>
          <w:szCs w:val="32"/>
        </w:rPr>
        <w:t xml:space="preserve">    3、监督管理商标的使用和印制，指导商标代理机构工作。</w:t>
      </w:r>
      <w:r>
        <w:rPr>
          <w:rFonts w:hint="eastAsia" w:ascii="仿宋_GB2312" w:eastAsia="仿宋_GB2312"/>
          <w:sz w:val="32"/>
          <w:szCs w:val="32"/>
        </w:rPr>
        <w:br w:type="textWrapping"/>
      </w:r>
      <w:r>
        <w:rPr>
          <w:rFonts w:hint="eastAsia" w:ascii="仿宋_GB2312" w:eastAsia="仿宋_GB2312"/>
          <w:sz w:val="32"/>
          <w:szCs w:val="32"/>
        </w:rPr>
        <w:t xml:space="preserve">    4、组织管理广告审批发布与广告经营活动。</w:t>
      </w:r>
      <w:r>
        <w:rPr>
          <w:rFonts w:hint="eastAsia" w:ascii="仿宋_GB2312" w:eastAsia="仿宋_GB2312"/>
          <w:sz w:val="32"/>
          <w:szCs w:val="32"/>
        </w:rPr>
        <w:br w:type="textWrapping"/>
      </w:r>
      <w:r>
        <w:rPr>
          <w:rFonts w:hint="eastAsia" w:ascii="仿宋_GB2312" w:eastAsia="仿宋_GB2312"/>
          <w:sz w:val="32"/>
          <w:szCs w:val="32"/>
        </w:rPr>
        <w:t xml:space="preserve">    5、依法保护消费者合法权益，组织查处侵犯消费者合法权益案件。</w:t>
      </w:r>
      <w:r>
        <w:rPr>
          <w:rFonts w:hint="eastAsia" w:ascii="仿宋_GB2312" w:eastAsia="仿宋_GB2312"/>
          <w:sz w:val="32"/>
          <w:szCs w:val="32"/>
        </w:rPr>
        <w:br w:type="textWrapping"/>
      </w:r>
      <w:r>
        <w:rPr>
          <w:rFonts w:hint="eastAsia" w:ascii="仿宋_GB2312" w:eastAsia="仿宋_GB2312"/>
          <w:sz w:val="32"/>
          <w:szCs w:val="32"/>
        </w:rPr>
        <w:t xml:space="preserve">    6、组织指导企业、个体工商户、农民专业合作社信用信息监督管理等等。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新疆喀什地区英吉沙县工商行政管理局</w:t>
      </w:r>
      <w:r>
        <w:rPr>
          <w:rFonts w:hint="eastAsia" w:ascii="仿宋_GB2312" w:eastAsia="仿宋_GB2312"/>
          <w:sz w:val="32"/>
          <w:szCs w:val="32"/>
        </w:rPr>
        <w:t>部门决算包括：</w:t>
      </w:r>
      <w:r>
        <w:rPr>
          <w:rFonts w:ascii="仿宋_GB2312" w:eastAsia="仿宋_GB2312"/>
          <w:sz w:val="32"/>
          <w:szCs w:val="32"/>
        </w:rPr>
        <w:t>新疆喀什地区英吉沙县工商行政管理局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新疆喀什地区英吉沙县工商行政管理局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新疆喀什地区英吉沙县工商行政管理局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425.7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，与上年相比，增加21.47万元，增长5.31%，增加的主要原因是：</w:t>
      </w:r>
      <w:r>
        <w:rPr>
          <w:rFonts w:hint="eastAsia" w:ascii="仿宋_GB2312" w:eastAsia="仿宋_GB2312"/>
          <w:color w:val="000000" w:themeColor="text1"/>
          <w:sz w:val="32"/>
          <w:szCs w:val="32"/>
        </w:rPr>
        <w:t>2018年9月新招6人，人员经费增加而致；</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425.7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，与上年相比，增加21.47万元，增长5.31%，增加的主要原因是：</w:t>
      </w:r>
      <w:r>
        <w:rPr>
          <w:rFonts w:hint="eastAsia" w:ascii="仿宋_GB2312" w:eastAsia="仿宋_GB2312"/>
          <w:color w:val="000000" w:themeColor="text1"/>
          <w:sz w:val="32"/>
          <w:szCs w:val="32"/>
        </w:rPr>
        <w:t>2018年9月新招6人，人员经费增加而致；</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425.7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425.7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况：本年收入年初预算数368.8万元</w:t>
      </w:r>
      <w:r>
        <w:rPr>
          <w:rFonts w:hint="eastAsia" w:ascii="仿宋_GB2312" w:eastAsia="仿宋_GB2312"/>
          <w:sz w:val="32"/>
          <w:szCs w:val="32"/>
        </w:rPr>
        <w:t>，决算数425.7万元</w:t>
      </w:r>
      <w:r>
        <w:rPr>
          <w:rFonts w:ascii="仿宋_GB2312" w:eastAsia="仿宋_GB2312"/>
          <w:sz w:val="32"/>
          <w:szCs w:val="32"/>
        </w:rPr>
        <w:t>，预决算差异率15.43%，差异主要原因是2018年9月新招6人，人员经费增加而致。</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425.7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425.7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与年初预算数相比情况：本年支出年初预算数368.8万元，</w:t>
      </w:r>
      <w:r>
        <w:rPr>
          <w:rFonts w:hint="eastAsia" w:ascii="仿宋_GB2312" w:eastAsia="仿宋_GB2312"/>
          <w:sz w:val="32"/>
          <w:szCs w:val="32"/>
        </w:rPr>
        <w:t>决算数425.7万元</w:t>
      </w:r>
      <w:r>
        <w:rPr>
          <w:rFonts w:ascii="仿宋_GB2312" w:eastAsia="仿宋_GB2312"/>
          <w:sz w:val="32"/>
          <w:szCs w:val="32"/>
        </w:rPr>
        <w:t>，预决算差异率15.43%，差异主要原因是2018年9月新招6人和2018年7月起基本工资调标所导致。</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425.7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，与上年相比，增加21.47万元，增长5.31%，增加的主要原因是：2018年9月新招6人和2018年7月起基本工资调标所导致。</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425.7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，与上年相比，增加21.47万元，增长5.31%，增加的主要原因是：</w:t>
      </w:r>
      <w:r>
        <w:rPr>
          <w:rFonts w:ascii="仿宋_GB2312" w:eastAsia="仿宋_GB2312"/>
          <w:sz w:val="32"/>
          <w:szCs w:val="32"/>
        </w:rPr>
        <w:t>2018年9月新招6人和2018年7月起基本工资调标所导致。</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425.7</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%，主要原因是：资金使用到位，无结余。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368.8</w:t>
      </w:r>
      <w:r>
        <w:rPr>
          <w:rFonts w:hint="eastAsia" w:ascii="仿宋_GB2312" w:eastAsia="仿宋_GB2312"/>
          <w:color w:val="000000" w:themeColor="text1"/>
          <w:sz w:val="32"/>
          <w:szCs w:val="32"/>
        </w:rPr>
        <w:t>万元，决算数</w:t>
      </w:r>
      <w:r>
        <w:rPr>
          <w:rFonts w:hint="eastAsia" w:ascii="仿宋_GB2312" w:eastAsia="仿宋_GB2312"/>
          <w:sz w:val="32"/>
          <w:szCs w:val="32"/>
        </w:rPr>
        <w:t>425.7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，预决算差异率15.43%，差异主要原因是2018年9月新招6人和2018年7月起基本工资调标所导致。</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368.8</w:t>
      </w:r>
      <w:r>
        <w:rPr>
          <w:rFonts w:hint="eastAsia" w:ascii="仿宋_GB2312" w:eastAsia="仿宋_GB2312"/>
          <w:color w:val="000000" w:themeColor="text1"/>
          <w:sz w:val="32"/>
          <w:szCs w:val="32"/>
        </w:rPr>
        <w:t>万元，决算数</w:t>
      </w:r>
      <w:r>
        <w:rPr>
          <w:rFonts w:hint="eastAsia" w:ascii="仿宋_GB2312" w:eastAsia="仿宋_GB2312"/>
          <w:sz w:val="32"/>
          <w:szCs w:val="32"/>
        </w:rPr>
        <w:t>425.7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，预决算差异率15.43%，差异主要原因是2018年9月新招6人和2018年7月起基本工资调标所导致。</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425.7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，与上年相比，增加21.47万元，增长5.31%，增加的主要原因是：2018年9月新招6人和2018年7月起基本工资调标所导致。</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425.7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，与上年相比，增加21.47万元，增长5.31%，增加的主要原因是：2018年9月新招6人和2018年7月起基本工资调标所导致。</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住房保障支出27.6万元,一般公共服务支出356.44万元,社会保障和就业支出41.66万元。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工资福利支出393.27万元,商品和服务支出11.4万元,对个人和家庭的补助21.04万元。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368.8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425.7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，预决算差异率15.43%，差异主要原因是2018年9月新招6人和2018年7月起基本工资调标所导致。</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368.8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425.7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，预决算差异率15.43%，差异主要原因是2018年9月新招6人并全体工作人员工资调高，人员经费增加而致。</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%，主要原因是：没有关于政府性基金预算和决算。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%，主要原因是：无政府性基金收支。</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rPr>
        <w:t>。按经济分类科目（按类级科目公开），</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，与上年相比，减少3.84万元，下降71.91%，减少的主要原因是：因单位的大部分人在工作组，车辆油料费，过路费等的费用减少了。</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%，主要原因是：没有关于因公出国（境）的预算数和决算数；</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100%，与上年相比，减少3.84万元，下降71.91%，减少的主要原因是：因单位的大部分人在工作组，车辆油料费，过路费等费用减少了；</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%，主要原因是：没有公用接待预算数和决算数。</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新疆喀什地区英吉沙县工商行政管理局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没有关于因公出国（境）的预算数和决算数。</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汽车油料，维护费，过路费，审验检验费，维修费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6</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没有公用接待预算和决算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新疆喀什地区英吉沙县工商行政管理局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bookmarkStart w:id="92" w:name="_GoBack"/>
      <w:bookmarkEnd w:id="92"/>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万元，决算数1.5万元</w:t>
      </w:r>
      <w:r>
        <w:rPr>
          <w:rFonts w:ascii="仿宋_GB2312" w:eastAsia="仿宋_GB2312"/>
          <w:color w:val="000000" w:themeColor="text1"/>
          <w:sz w:val="32"/>
          <w:szCs w:val="32"/>
        </w:rPr>
        <w:t>，预决算差异率0%，差异主要原因是年初“三公”经费的预算数和年底“三公”经费决算数相同，没有差异。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，预决算差异率0%，差异主要原因是没有关于因公出国（境）的预算和决算；</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，预决算差异率0%，差异主要原因是没有公用用车购置预算数和决算数；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，预决算差异率0%，差异主要原因是公务用车运行预算数和决算数相同，没有差异；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没有公用接待费预算数和决算数。</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2018年度新疆喀什地区英吉沙县工商行政管理局机关运行经费支出11.4万元，与上年相比，减少0.28万元，下降2.4%，减少的主要原因是：2017年单位公用取暖费</w:t>
      </w:r>
      <w:r>
        <w:rPr>
          <w:rFonts w:hint="eastAsia" w:ascii="仿宋_GB2312" w:eastAsia="仿宋_GB2312"/>
          <w:color w:val="000000" w:themeColor="text1"/>
          <w:sz w:val="32"/>
          <w:szCs w:val="32"/>
          <w:lang w:eastAsia="zh-CN"/>
        </w:rPr>
        <w:t>于</w:t>
      </w:r>
      <w:r>
        <w:rPr>
          <w:rFonts w:hint="eastAsia" w:ascii="仿宋_GB2312" w:eastAsia="仿宋_GB2312"/>
          <w:color w:val="000000" w:themeColor="text1"/>
          <w:sz w:val="32"/>
          <w:szCs w:val="32"/>
        </w:rPr>
        <w:t>2018年</w:t>
      </w:r>
      <w:r>
        <w:rPr>
          <w:rFonts w:hint="eastAsia" w:ascii="仿宋_GB2312" w:eastAsia="仿宋_GB2312"/>
          <w:color w:val="000000" w:themeColor="text1"/>
          <w:sz w:val="32"/>
          <w:szCs w:val="32"/>
          <w:lang w:eastAsia="zh-CN"/>
        </w:rPr>
        <w:t>度</w:t>
      </w:r>
      <w:r>
        <w:rPr>
          <w:rFonts w:hint="eastAsia" w:ascii="仿宋_GB2312" w:eastAsia="仿宋_GB2312"/>
          <w:color w:val="000000" w:themeColor="text1"/>
          <w:sz w:val="32"/>
          <w:szCs w:val="32"/>
        </w:rPr>
        <w:t>拨付。</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10</w:t>
      </w:r>
      <w:r>
        <w:rPr>
          <w:rFonts w:hint="eastAsia" w:ascii="仿宋_GB2312" w:eastAsia="仿宋_GB2312"/>
          <w:color w:val="000000" w:themeColor="text1"/>
          <w:sz w:val="32"/>
          <w:szCs w:val="32"/>
        </w:rPr>
        <w:t>辆，价值</w:t>
      </w:r>
      <w:r>
        <w:rPr>
          <w:rFonts w:hint="eastAsia" w:ascii="仿宋_GB2312" w:eastAsia="仿宋_GB2312"/>
          <w:sz w:val="32"/>
          <w:szCs w:val="32"/>
        </w:rPr>
        <w:t>80.91</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5</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4</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工商执法用车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英吉沙县工商行政管理局</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201（类）15（款）01（项）指：行政运行。221（类）02（款）01（项）指：住房公积金。208（类）05（款）05（项）指：机关事业单位基本养老保险缴费支出。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英吉沙县工商行政管理局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D0F5665"/>
    <w:rsid w:val="0E063C64"/>
    <w:rsid w:val="0F4C7B96"/>
    <w:rsid w:val="0FFB575E"/>
    <w:rsid w:val="10845F1B"/>
    <w:rsid w:val="11463A00"/>
    <w:rsid w:val="11600918"/>
    <w:rsid w:val="11B0398F"/>
    <w:rsid w:val="13B960C5"/>
    <w:rsid w:val="152777F4"/>
    <w:rsid w:val="15C674B6"/>
    <w:rsid w:val="18D54A0D"/>
    <w:rsid w:val="192229A8"/>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0EF1460"/>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3631281"/>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711101"/>
    <w:rsid w:val="7CA86749"/>
    <w:rsid w:val="7E6D0CAD"/>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2021-06-04T09:01:02Z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02787997E8F44F61AEF11ECCAC69D9BA</vt:lpwstr>
  </property>
</Properties>
</file>